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0E07" w:rsidRPr="00D34B5F" w:rsidRDefault="004F4F9C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  <w:sz w:val="40"/>
        </w:rPr>
      </w:pPr>
      <w:r>
        <w:rPr>
          <w:rFonts w:cstheme="minorHAnsi"/>
          <w:b/>
          <w:bCs/>
          <w:sz w:val="40"/>
        </w:rPr>
        <w:t>PROGRAMA DE TRANSPARENCIA Y ÉTICA PÚBLICA</w:t>
      </w:r>
    </w:p>
    <w:p w:rsidR="007A0E07" w:rsidRPr="00D34B5F" w:rsidRDefault="007A0E07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:rsidR="007A0E07" w:rsidRDefault="007A0E07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  <w:sz w:val="40"/>
        </w:rPr>
      </w:pPr>
      <w:r w:rsidRPr="00D34B5F">
        <w:rPr>
          <w:rFonts w:cstheme="minorHAnsi"/>
          <w:b/>
          <w:bCs/>
          <w:sz w:val="40"/>
        </w:rPr>
        <w:t>PERSONERIA MUNICIPAL DE FACATATIVA</w:t>
      </w:r>
    </w:p>
    <w:p w:rsidR="004F4F9C" w:rsidRPr="00D34B5F" w:rsidRDefault="004F4F9C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  <w:sz w:val="40"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rPr>
          <w:rFonts w:cstheme="minorHAnsi"/>
          <w:b/>
          <w:bCs/>
        </w:rPr>
      </w:pPr>
    </w:p>
    <w:p w:rsidR="007A0E07" w:rsidRPr="00D34B5F" w:rsidRDefault="007A0E07" w:rsidP="007A0E07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bCs/>
          <w:sz w:val="40"/>
        </w:rPr>
      </w:pPr>
      <w:r w:rsidRPr="00D34B5F">
        <w:rPr>
          <w:rFonts w:cstheme="minorHAnsi"/>
          <w:b/>
          <w:bCs/>
          <w:sz w:val="40"/>
        </w:rPr>
        <w:t>ENERO 2026</w:t>
      </w:r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6"/>
      </w:tblGrid>
      <w:tr w:rsidR="007A0E07" w:rsidRPr="0096598D" w:rsidTr="00E978DE">
        <w:trPr>
          <w:trHeight w:val="216"/>
          <w:jc w:val="center"/>
        </w:trPr>
        <w:tc>
          <w:tcPr>
            <w:tcW w:w="9046" w:type="dxa"/>
            <w:tcBorders>
              <w:top w:val="threeDEngrave" w:sz="12" w:space="0" w:color="auto"/>
              <w:left w:val="threeDEngrave" w:sz="12" w:space="0" w:color="auto"/>
              <w:right w:val="threeDEngrave" w:sz="12" w:space="0" w:color="auto"/>
            </w:tcBorders>
          </w:tcPr>
          <w:p w:rsidR="007A0E07" w:rsidRDefault="007A0E07" w:rsidP="00E978DE">
            <w:pPr>
              <w:spacing w:after="0" w:line="240" w:lineRule="auto"/>
              <w:jc w:val="both"/>
              <w:rPr>
                <w:rFonts w:cs="Arial"/>
                <w:b/>
                <w:bCs/>
              </w:rPr>
            </w:pPr>
            <w:r w:rsidRPr="0096598D">
              <w:rPr>
                <w:rFonts w:cs="Arial"/>
                <w:b/>
                <w:bCs/>
              </w:rPr>
              <w:t xml:space="preserve">ELABORO:                           </w:t>
            </w:r>
            <w:r>
              <w:rPr>
                <w:rFonts w:cs="Arial"/>
                <w:b/>
                <w:bCs/>
              </w:rPr>
              <w:t>LAURA FERNANDA SALAMANCA MAYORGA</w:t>
            </w:r>
          </w:p>
          <w:p w:rsidR="007A0E07" w:rsidRPr="0096598D" w:rsidRDefault="007A0E07" w:rsidP="00E978DE">
            <w:pPr>
              <w:spacing w:after="0" w:line="240" w:lineRule="auto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                                              NELSON EDUARDO RIVERA BERMÚDEZ</w:t>
            </w:r>
          </w:p>
        </w:tc>
      </w:tr>
      <w:tr w:rsidR="007A0E07" w:rsidRPr="0096598D" w:rsidTr="00E978DE">
        <w:trPr>
          <w:trHeight w:val="229"/>
          <w:jc w:val="center"/>
        </w:trPr>
        <w:tc>
          <w:tcPr>
            <w:tcW w:w="9046" w:type="dxa"/>
            <w:tcBorders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</w:tcPr>
          <w:p w:rsidR="007A0E07" w:rsidRDefault="007A0E07" w:rsidP="00E978DE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795F0B">
              <w:rPr>
                <w:rFonts w:cs="Arial"/>
                <w:b/>
                <w:bCs/>
              </w:rPr>
              <w:t>SECRETARIA GENERAL DE ORGANISMO DE CONTROL</w:t>
            </w:r>
          </w:p>
          <w:p w:rsidR="007A0E07" w:rsidRPr="0096598D" w:rsidRDefault="007A0E07" w:rsidP="00E978DE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CONTRATISTA LIDER PROCESO DE CONTROL INTERNO</w:t>
            </w:r>
          </w:p>
        </w:tc>
      </w:tr>
      <w:tr w:rsidR="007A0E07" w:rsidRPr="0096598D" w:rsidTr="00E978DE">
        <w:trPr>
          <w:trHeight w:val="240"/>
          <w:jc w:val="center"/>
        </w:trPr>
        <w:tc>
          <w:tcPr>
            <w:tcW w:w="9046" w:type="dxa"/>
            <w:tcBorders>
              <w:top w:val="threeDEngrave" w:sz="12" w:space="0" w:color="auto"/>
              <w:left w:val="threeDEngrave" w:sz="12" w:space="0" w:color="auto"/>
              <w:right w:val="threeDEngrave" w:sz="12" w:space="0" w:color="auto"/>
            </w:tcBorders>
          </w:tcPr>
          <w:p w:rsidR="007A0E07" w:rsidRPr="0096598D" w:rsidRDefault="007A0E07" w:rsidP="00E978DE">
            <w:pPr>
              <w:rPr>
                <w:rFonts w:cs="Arial"/>
                <w:b/>
                <w:bCs/>
              </w:rPr>
            </w:pPr>
            <w:r w:rsidRPr="0096598D">
              <w:rPr>
                <w:rFonts w:cs="Arial"/>
                <w:b/>
                <w:bCs/>
              </w:rPr>
              <w:t xml:space="preserve">REVISO:                     </w:t>
            </w:r>
            <w:r>
              <w:rPr>
                <w:rFonts w:cs="Arial"/>
                <w:b/>
                <w:bCs/>
              </w:rPr>
              <w:t xml:space="preserve">          </w:t>
            </w:r>
            <w:r w:rsidRPr="0096598D">
              <w:rPr>
                <w:rFonts w:cs="Arial"/>
                <w:b/>
                <w:bCs/>
              </w:rPr>
              <w:t xml:space="preserve">       </w:t>
            </w:r>
            <w:r>
              <w:rPr>
                <w:rFonts w:cs="Arial"/>
                <w:b/>
                <w:bCs/>
              </w:rPr>
              <w:t xml:space="preserve">IVAN YESID OLAYA DIAZ </w:t>
            </w:r>
          </w:p>
        </w:tc>
      </w:tr>
      <w:tr w:rsidR="007A0E07" w:rsidRPr="0096598D" w:rsidTr="00E978DE">
        <w:trPr>
          <w:trHeight w:val="303"/>
          <w:jc w:val="center"/>
        </w:trPr>
        <w:tc>
          <w:tcPr>
            <w:tcW w:w="9046" w:type="dxa"/>
            <w:tcBorders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</w:tcPr>
          <w:p w:rsidR="007A0E07" w:rsidRPr="0096598D" w:rsidRDefault="007A0E07" w:rsidP="00E978DE">
            <w:pPr>
              <w:jc w:val="both"/>
              <w:rPr>
                <w:rFonts w:cs="Arial"/>
                <w:b/>
                <w:bCs/>
              </w:rPr>
            </w:pPr>
            <w:r w:rsidRPr="0096598D">
              <w:rPr>
                <w:rFonts w:cs="Arial"/>
                <w:b/>
                <w:bCs/>
              </w:rPr>
              <w:t xml:space="preserve">                                   </w:t>
            </w:r>
            <w:r>
              <w:rPr>
                <w:rFonts w:cs="Arial"/>
                <w:b/>
                <w:bCs/>
              </w:rPr>
              <w:t xml:space="preserve">                      PERSONERO AUXILIAR</w:t>
            </w:r>
          </w:p>
        </w:tc>
      </w:tr>
      <w:tr w:rsidR="007A0E07" w:rsidRPr="0096598D" w:rsidTr="00E978DE">
        <w:trPr>
          <w:trHeight w:val="292"/>
          <w:jc w:val="center"/>
        </w:trPr>
        <w:tc>
          <w:tcPr>
            <w:tcW w:w="9046" w:type="dxa"/>
            <w:tcBorders>
              <w:top w:val="threeDEngrave" w:sz="12" w:space="0" w:color="auto"/>
              <w:left w:val="threeDEngrave" w:sz="12" w:space="0" w:color="auto"/>
              <w:right w:val="threeDEngrave" w:sz="12" w:space="0" w:color="auto"/>
            </w:tcBorders>
          </w:tcPr>
          <w:p w:rsidR="007A0E07" w:rsidRPr="0096598D" w:rsidRDefault="007A0E07" w:rsidP="00E978DE">
            <w:pPr>
              <w:jc w:val="both"/>
              <w:rPr>
                <w:rFonts w:cs="Arial"/>
                <w:b/>
                <w:bCs/>
              </w:rPr>
            </w:pPr>
            <w:r w:rsidRPr="0096598D">
              <w:rPr>
                <w:rFonts w:cs="Arial"/>
                <w:b/>
                <w:bCs/>
              </w:rPr>
              <w:t xml:space="preserve">APROBÓ:                         </w:t>
            </w:r>
            <w:r>
              <w:rPr>
                <w:rFonts w:cs="Arial"/>
                <w:b/>
                <w:bCs/>
              </w:rPr>
              <w:t>JHON JAIRO MONROY VELANDIA</w:t>
            </w:r>
          </w:p>
        </w:tc>
      </w:tr>
      <w:tr w:rsidR="007A0E07" w:rsidRPr="0096598D" w:rsidTr="00E978DE">
        <w:trPr>
          <w:trHeight w:val="265"/>
          <w:jc w:val="center"/>
        </w:trPr>
        <w:tc>
          <w:tcPr>
            <w:tcW w:w="9046" w:type="dxa"/>
            <w:tcBorders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</w:tcPr>
          <w:p w:rsidR="007A0E07" w:rsidRPr="0096598D" w:rsidRDefault="007A0E07" w:rsidP="00E978DE">
            <w:pPr>
              <w:jc w:val="both"/>
              <w:rPr>
                <w:rFonts w:cs="Arial"/>
                <w:b/>
                <w:bCs/>
              </w:rPr>
            </w:pPr>
            <w:r w:rsidRPr="0096598D">
              <w:rPr>
                <w:rFonts w:cs="Arial"/>
                <w:b/>
                <w:bCs/>
              </w:rPr>
              <w:t xml:space="preserve">                                                               </w:t>
            </w:r>
            <w:r>
              <w:rPr>
                <w:rFonts w:cs="Arial"/>
                <w:b/>
                <w:bCs/>
              </w:rPr>
              <w:t xml:space="preserve">  </w:t>
            </w:r>
            <w:r w:rsidRPr="0096598D">
              <w:rPr>
                <w:rFonts w:cs="Arial"/>
                <w:b/>
                <w:bCs/>
              </w:rPr>
              <w:t>P</w:t>
            </w:r>
            <w:r>
              <w:rPr>
                <w:rFonts w:cs="Arial"/>
                <w:b/>
                <w:bCs/>
              </w:rPr>
              <w:t>ERSONERO</w:t>
            </w:r>
          </w:p>
        </w:tc>
      </w:tr>
    </w:tbl>
    <w:p w:rsidR="007A0E07" w:rsidRPr="00D34B5F" w:rsidRDefault="007A0E07" w:rsidP="007A0E07">
      <w:pPr>
        <w:pStyle w:val="TtuloTDC"/>
        <w:spacing w:line="360" w:lineRule="auto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</w:p>
    <w:p w:rsidR="007A0E07" w:rsidRDefault="007A0E07" w:rsidP="007A0E07">
      <w:pPr>
        <w:pStyle w:val="TtuloTDC"/>
        <w:spacing w:line="360" w:lineRule="auto"/>
        <w:jc w:val="center"/>
        <w:rPr>
          <w:rFonts w:asciiTheme="minorHAnsi" w:hAnsiTheme="minorHAnsi" w:cstheme="minorHAnsi"/>
          <w:color w:val="auto"/>
          <w:sz w:val="22"/>
          <w:szCs w:val="22"/>
          <w:lang w:val="es-ES"/>
        </w:rPr>
      </w:pPr>
      <w:r w:rsidRPr="00D34B5F">
        <w:rPr>
          <w:rFonts w:asciiTheme="minorHAnsi" w:hAnsiTheme="minorHAnsi" w:cstheme="minorHAnsi"/>
          <w:color w:val="auto"/>
          <w:sz w:val="22"/>
          <w:szCs w:val="22"/>
          <w:lang w:val="es-ES"/>
        </w:rPr>
        <w:t>TABLA DE CONTENIDO</w:t>
      </w:r>
    </w:p>
    <w:p w:rsidR="001C2458" w:rsidRPr="001C2458" w:rsidRDefault="001C2458" w:rsidP="001C2458">
      <w:pPr>
        <w:rPr>
          <w:lang w:val="es-ES" w:eastAsia="es-CO"/>
        </w:rPr>
      </w:pPr>
    </w:p>
    <w:p w:rsidR="007A0E07" w:rsidRPr="00D34B5F" w:rsidRDefault="00F441A8" w:rsidP="00F441A8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DECLARACIÓN</w:t>
      </w:r>
    </w:p>
    <w:p w:rsidR="007A0E07" w:rsidRPr="00D34B5F" w:rsidRDefault="007A0E07" w:rsidP="00F441A8">
      <w:pPr>
        <w:spacing w:after="0" w:line="240" w:lineRule="auto"/>
        <w:ind w:left="720"/>
        <w:jc w:val="both"/>
        <w:rPr>
          <w:rFonts w:cstheme="minorHAnsi"/>
          <w:b/>
        </w:rPr>
      </w:pPr>
    </w:p>
    <w:p w:rsidR="007A0E07" w:rsidRPr="00D34B5F" w:rsidRDefault="00F441A8" w:rsidP="00F441A8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OBJETIVOS</w:t>
      </w:r>
    </w:p>
    <w:p w:rsidR="007A0E07" w:rsidRPr="00D34B5F" w:rsidRDefault="007A0E07" w:rsidP="00F441A8">
      <w:pPr>
        <w:spacing w:after="0" w:line="240" w:lineRule="auto"/>
        <w:jc w:val="both"/>
        <w:rPr>
          <w:rFonts w:cstheme="minorHAnsi"/>
        </w:rPr>
      </w:pPr>
    </w:p>
    <w:p w:rsidR="007A0E07" w:rsidRPr="00D34B5F" w:rsidRDefault="00F441A8" w:rsidP="00F441A8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ALCANCE</w:t>
      </w:r>
    </w:p>
    <w:p w:rsidR="007A0E07" w:rsidRPr="00D34B5F" w:rsidRDefault="007A0E07" w:rsidP="00F441A8">
      <w:pPr>
        <w:spacing w:after="0" w:line="240" w:lineRule="auto"/>
        <w:rPr>
          <w:rFonts w:cstheme="minorHAnsi"/>
          <w:b/>
        </w:rPr>
      </w:pPr>
    </w:p>
    <w:p w:rsidR="00F441A8" w:rsidRDefault="00F441A8" w:rsidP="00F441A8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PLANEACIÓN</w:t>
      </w:r>
    </w:p>
    <w:p w:rsidR="00F441A8" w:rsidRDefault="00F441A8" w:rsidP="00F441A8">
      <w:pPr>
        <w:spacing w:after="0" w:line="240" w:lineRule="auto"/>
        <w:ind w:left="720"/>
        <w:jc w:val="both"/>
        <w:rPr>
          <w:rFonts w:cstheme="minorHAnsi"/>
          <w:b/>
        </w:rPr>
      </w:pPr>
    </w:p>
    <w:p w:rsidR="00F441A8" w:rsidRPr="00F441A8" w:rsidRDefault="00F441A8" w:rsidP="00F441A8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 w:rsidRPr="00F441A8">
        <w:rPr>
          <w:b/>
          <w:bCs/>
        </w:rPr>
        <w:t>ESTRATEGIA INSTITUCIONAL DE LUCHA CONTRA LA CORRUPCIÓN</w:t>
      </w:r>
    </w:p>
    <w:p w:rsidR="00F441A8" w:rsidRDefault="00F441A8" w:rsidP="00F441A8">
      <w:pPr>
        <w:spacing w:after="0" w:line="240" w:lineRule="auto"/>
        <w:ind w:left="720"/>
        <w:jc w:val="both"/>
        <w:rPr>
          <w:rFonts w:cstheme="minorHAnsi"/>
          <w:b/>
        </w:rPr>
      </w:pPr>
    </w:p>
    <w:p w:rsidR="007A0E07" w:rsidRPr="00F441A8" w:rsidRDefault="00F441A8" w:rsidP="00F441A8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 w:rsidRPr="00F441A8">
        <w:rPr>
          <w:b/>
          <w:bCs/>
        </w:rPr>
        <w:t>MONITOREO, ADMINISTRACIÓN Y SUPERVISIÓN</w:t>
      </w:r>
    </w:p>
    <w:p w:rsidR="00F441A8" w:rsidRPr="00F441A8" w:rsidRDefault="00F441A8" w:rsidP="00F441A8">
      <w:pPr>
        <w:spacing w:after="0" w:line="240" w:lineRule="auto"/>
        <w:ind w:left="720"/>
        <w:jc w:val="both"/>
        <w:rPr>
          <w:rFonts w:cstheme="minorHAnsi"/>
          <w:b/>
        </w:rPr>
      </w:pPr>
    </w:p>
    <w:p w:rsidR="007A0E07" w:rsidRPr="00D34B5F" w:rsidRDefault="00F441A8" w:rsidP="00F441A8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FORMACIÓN</w:t>
      </w:r>
    </w:p>
    <w:p w:rsidR="007A0E07" w:rsidRPr="00D34B5F" w:rsidRDefault="007A0E07" w:rsidP="00F441A8">
      <w:pPr>
        <w:pStyle w:val="Prrafodelista"/>
        <w:rPr>
          <w:rFonts w:cstheme="minorHAnsi"/>
          <w:b/>
          <w:sz w:val="22"/>
          <w:szCs w:val="22"/>
        </w:rPr>
      </w:pPr>
    </w:p>
    <w:p w:rsidR="007A0E07" w:rsidRDefault="00F441A8" w:rsidP="00F441A8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COMUNICACIÓN</w:t>
      </w:r>
    </w:p>
    <w:p w:rsidR="007A0E07" w:rsidRPr="00CB3B0A" w:rsidRDefault="007A0E07" w:rsidP="00F441A8">
      <w:pPr>
        <w:spacing w:after="0" w:line="240" w:lineRule="auto"/>
        <w:jc w:val="both"/>
        <w:rPr>
          <w:rFonts w:cstheme="minorHAnsi"/>
          <w:b/>
        </w:rPr>
      </w:pPr>
    </w:p>
    <w:p w:rsidR="007A0E07" w:rsidRPr="00CB3B0A" w:rsidRDefault="00F441A8" w:rsidP="00F441A8">
      <w:pPr>
        <w:pStyle w:val="Prrafodelista"/>
        <w:numPr>
          <w:ilvl w:val="0"/>
          <w:numId w:val="1"/>
        </w:numPr>
        <w:jc w:val="both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AUDITORIA Y MEJORA</w:t>
      </w:r>
    </w:p>
    <w:p w:rsidR="007A0E07" w:rsidRDefault="007A0E07" w:rsidP="00F441A8">
      <w:pPr>
        <w:spacing w:after="0" w:line="240" w:lineRule="auto"/>
        <w:ind w:left="720"/>
        <w:jc w:val="both"/>
        <w:rPr>
          <w:rFonts w:cstheme="minorHAnsi"/>
          <w:b/>
        </w:rPr>
      </w:pPr>
    </w:p>
    <w:p w:rsidR="007A0E07" w:rsidRPr="00CB3B0A" w:rsidRDefault="00F441A8" w:rsidP="00F441A8">
      <w:pPr>
        <w:pStyle w:val="Prrafodelista"/>
        <w:numPr>
          <w:ilvl w:val="0"/>
          <w:numId w:val="1"/>
        </w:numPr>
        <w:jc w:val="both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VIGENCIA</w:t>
      </w:r>
    </w:p>
    <w:p w:rsidR="00EC0389" w:rsidRDefault="00EC0389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F441A8" w:rsidRDefault="00F441A8">
      <w:pPr>
        <w:rPr>
          <w:rFonts w:cstheme="minorHAnsi"/>
          <w:b/>
        </w:rPr>
      </w:pPr>
    </w:p>
    <w:p w:rsidR="00E40DFE" w:rsidRPr="00E40DFE" w:rsidRDefault="00E40DFE" w:rsidP="00E40DFE">
      <w:pPr>
        <w:rPr>
          <w:b/>
          <w:bCs/>
        </w:rPr>
      </w:pPr>
      <w:r w:rsidRPr="00E40DFE">
        <w:rPr>
          <w:b/>
          <w:bCs/>
        </w:rPr>
        <w:lastRenderedPageBreak/>
        <w:t>1. DECLARACIÓN</w:t>
      </w:r>
    </w:p>
    <w:p w:rsidR="00E40DFE" w:rsidRPr="00F441A8" w:rsidRDefault="00E40DFE" w:rsidP="00F441A8">
      <w:pPr>
        <w:jc w:val="both"/>
      </w:pPr>
      <w:r>
        <w:t>La Personería Municipal de Facatativá reafirma su compromiso con la transparencia, la ética pública, la legalidad y la lucha contra la corrupción, promoviendo una gestión íntegra, abierta y orientada al servicio de la ciudadanía, en concordancia con la Constitución Política</w:t>
      </w:r>
      <w:r>
        <w:t xml:space="preserve"> y el Marco Normativo. </w:t>
      </w:r>
      <w:r>
        <w:t>Este Programa de Transparencia y Ética Pública constituye una herramienta fundamental para prevenir actos de corrupción, fortalecer la confianza ciudadana y garantizar el ejercicio responsable de la función pública.</w:t>
      </w:r>
    </w:p>
    <w:p w:rsidR="00E40DFE" w:rsidRPr="00E40DFE" w:rsidRDefault="00E40DFE" w:rsidP="00E40DFE">
      <w:pPr>
        <w:rPr>
          <w:b/>
          <w:bCs/>
        </w:rPr>
      </w:pPr>
      <w:r w:rsidRPr="00E40DFE">
        <w:rPr>
          <w:b/>
          <w:bCs/>
        </w:rPr>
        <w:t>2. OBJETIVOS</w:t>
      </w:r>
    </w:p>
    <w:p w:rsidR="00E40DFE" w:rsidRPr="003B4DA9" w:rsidRDefault="00E40DFE" w:rsidP="00E40DFE">
      <w:pPr>
        <w:rPr>
          <w:b/>
          <w:bCs/>
        </w:rPr>
      </w:pPr>
      <w:r w:rsidRPr="003B4DA9">
        <w:rPr>
          <w:b/>
          <w:bCs/>
        </w:rPr>
        <w:t xml:space="preserve">Objetivo </w:t>
      </w:r>
      <w:r w:rsidR="003B4DA9">
        <w:rPr>
          <w:b/>
          <w:bCs/>
        </w:rPr>
        <w:t>G</w:t>
      </w:r>
      <w:r w:rsidRPr="003B4DA9">
        <w:rPr>
          <w:b/>
          <w:bCs/>
        </w:rPr>
        <w:t>eneral</w:t>
      </w:r>
    </w:p>
    <w:p w:rsidR="00E40DFE" w:rsidRDefault="00E40DFE" w:rsidP="00E40DFE">
      <w:r>
        <w:t>Fortalecer la cultura de la transparencia, la integridad y la ética pública en la Personería Municipal de Facatativá, mediante la implementación de acciones preventivas, pedagógicas y de control que contribuyan a la lucha contra la corrupción.</w:t>
      </w:r>
    </w:p>
    <w:p w:rsidR="00E40DFE" w:rsidRPr="0053003F" w:rsidRDefault="00E40DFE" w:rsidP="00E40DFE">
      <w:pPr>
        <w:rPr>
          <w:b/>
          <w:bCs/>
        </w:rPr>
      </w:pPr>
      <w:r w:rsidRPr="0053003F">
        <w:rPr>
          <w:b/>
          <w:bCs/>
        </w:rPr>
        <w:t xml:space="preserve">Objetivos </w:t>
      </w:r>
      <w:r w:rsidR="0053003F" w:rsidRPr="0053003F">
        <w:rPr>
          <w:b/>
          <w:bCs/>
        </w:rPr>
        <w:t>E</w:t>
      </w:r>
      <w:r w:rsidRPr="0053003F">
        <w:rPr>
          <w:b/>
          <w:bCs/>
        </w:rPr>
        <w:t>specíficos</w:t>
      </w:r>
    </w:p>
    <w:p w:rsidR="00E40DFE" w:rsidRDefault="00E40DFE" w:rsidP="0053003F">
      <w:pPr>
        <w:pStyle w:val="Prrafodelista"/>
        <w:numPr>
          <w:ilvl w:val="0"/>
          <w:numId w:val="17"/>
        </w:numPr>
      </w:pPr>
      <w:r>
        <w:t>Promover comportamientos éticos y transparentes en los servidores públicos.</w:t>
      </w:r>
    </w:p>
    <w:p w:rsidR="00E40DFE" w:rsidRDefault="0053003F" w:rsidP="0053003F">
      <w:pPr>
        <w:pStyle w:val="Prrafodelista"/>
        <w:numPr>
          <w:ilvl w:val="0"/>
          <w:numId w:val="17"/>
        </w:numPr>
      </w:pPr>
      <w:r>
        <w:t>Mitigar los</w:t>
      </w:r>
      <w:r w:rsidR="00E40DFE">
        <w:t xml:space="preserve"> riesgos de corrupción en los procesos institucionales.</w:t>
      </w:r>
    </w:p>
    <w:p w:rsidR="00E40DFE" w:rsidRDefault="00E40DFE" w:rsidP="0053003F">
      <w:pPr>
        <w:pStyle w:val="Prrafodelista"/>
        <w:numPr>
          <w:ilvl w:val="0"/>
          <w:numId w:val="17"/>
        </w:numPr>
      </w:pPr>
      <w:r>
        <w:t>Fortalecer los mecanismos de acceso a la información pública.</w:t>
      </w:r>
    </w:p>
    <w:p w:rsidR="00E40DFE" w:rsidRDefault="00E40DFE" w:rsidP="00E40DFE">
      <w:pPr>
        <w:pStyle w:val="Prrafodelista"/>
        <w:numPr>
          <w:ilvl w:val="0"/>
          <w:numId w:val="17"/>
        </w:numPr>
      </w:pPr>
      <w:r>
        <w:t>Garantizar la rendición de cuentas y la participación ciudadana.</w:t>
      </w:r>
    </w:p>
    <w:p w:rsidR="0053003F" w:rsidRDefault="0053003F" w:rsidP="0053003F">
      <w:pPr>
        <w:pStyle w:val="Prrafodelista"/>
      </w:pPr>
    </w:p>
    <w:p w:rsidR="00E40DFE" w:rsidRPr="0053003F" w:rsidRDefault="00E40DFE" w:rsidP="00E40DFE">
      <w:pPr>
        <w:rPr>
          <w:b/>
          <w:bCs/>
        </w:rPr>
      </w:pPr>
      <w:r w:rsidRPr="0053003F">
        <w:rPr>
          <w:b/>
          <w:bCs/>
        </w:rPr>
        <w:t>3. ALCANCE</w:t>
      </w:r>
    </w:p>
    <w:p w:rsidR="00E40DFE" w:rsidRDefault="00E40DFE" w:rsidP="00F441A8">
      <w:pPr>
        <w:spacing w:after="0"/>
        <w:jc w:val="both"/>
      </w:pPr>
      <w:r>
        <w:t>El presente Programa aplica a todos los servidores públicos, contratistas y colaboradores de la Personería Municipal de Facatativá, así como a los procesos misionales, estratégicos y de apoyo de la entidad.</w:t>
      </w:r>
    </w:p>
    <w:p w:rsidR="0053003F" w:rsidRDefault="00E40DFE" w:rsidP="00F441A8">
      <w:pPr>
        <w:spacing w:after="0"/>
      </w:pPr>
      <w:r>
        <w:t xml:space="preserve"> </w:t>
      </w:r>
    </w:p>
    <w:p w:rsidR="00E40DFE" w:rsidRPr="0053003F" w:rsidRDefault="00E40DFE" w:rsidP="00F441A8">
      <w:pPr>
        <w:spacing w:after="0"/>
      </w:pPr>
      <w:r w:rsidRPr="0053003F">
        <w:rPr>
          <w:b/>
          <w:bCs/>
        </w:rPr>
        <w:t>4. PLANEACIÓN</w:t>
      </w:r>
    </w:p>
    <w:p w:rsidR="00E40DFE" w:rsidRDefault="00E40DFE" w:rsidP="00E40DFE">
      <w:r>
        <w:t>La planeación del Programa de Transparencia y Ética Pública se fundamenta en:</w:t>
      </w:r>
    </w:p>
    <w:p w:rsidR="00E40DFE" w:rsidRDefault="00E40DFE" w:rsidP="0053003F">
      <w:pPr>
        <w:pStyle w:val="Prrafodelista"/>
        <w:numPr>
          <w:ilvl w:val="0"/>
          <w:numId w:val="18"/>
        </w:numPr>
      </w:pPr>
      <w:r>
        <w:t>Identificación y análisis de riesgos de corrupción.</w:t>
      </w:r>
    </w:p>
    <w:p w:rsidR="00E40DFE" w:rsidRDefault="00E40DFE" w:rsidP="0053003F">
      <w:pPr>
        <w:pStyle w:val="Prrafodelista"/>
        <w:numPr>
          <w:ilvl w:val="0"/>
          <w:numId w:val="18"/>
        </w:numPr>
      </w:pPr>
      <w:r>
        <w:t>Resultados de auditorías internas y externas.</w:t>
      </w:r>
    </w:p>
    <w:p w:rsidR="0053003F" w:rsidRDefault="00E40DFE" w:rsidP="00E40DFE">
      <w:pPr>
        <w:pStyle w:val="Prrafodelista"/>
        <w:numPr>
          <w:ilvl w:val="0"/>
          <w:numId w:val="18"/>
        </w:numPr>
      </w:pPr>
      <w:r>
        <w:t>Evaluaciones de Control Interno.</w:t>
      </w:r>
    </w:p>
    <w:p w:rsidR="00F441A8" w:rsidRDefault="00F441A8" w:rsidP="00F441A8">
      <w:pPr>
        <w:pStyle w:val="Prrafodelista"/>
      </w:pPr>
    </w:p>
    <w:p w:rsidR="00E40DFE" w:rsidRPr="0053003F" w:rsidRDefault="00E40DFE" w:rsidP="00E40DFE">
      <w:pPr>
        <w:rPr>
          <w:b/>
          <w:bCs/>
        </w:rPr>
      </w:pPr>
      <w:r w:rsidRPr="0053003F">
        <w:rPr>
          <w:b/>
          <w:bCs/>
        </w:rPr>
        <w:t>5. ESTRATEGIA INSTITUCIONAL DE LUCHA CONTRA LA CORRUPCIÓN</w:t>
      </w:r>
    </w:p>
    <w:p w:rsidR="00F441A8" w:rsidRDefault="00E40DFE" w:rsidP="001C2458">
      <w:pPr>
        <w:jc w:val="both"/>
      </w:pPr>
      <w:r>
        <w:t xml:space="preserve">La </w:t>
      </w:r>
      <w:r w:rsidR="0053003F">
        <w:t>entidad</w:t>
      </w:r>
      <w:r>
        <w:t xml:space="preserve"> implementa su estrategia institucional de lucha contra la corrupción a través de los siguientes componentes:</w:t>
      </w:r>
    </w:p>
    <w:p w:rsidR="001C2458" w:rsidRDefault="001C2458" w:rsidP="001C2458">
      <w:pPr>
        <w:jc w:val="both"/>
      </w:pPr>
    </w:p>
    <w:p w:rsidR="001C2458" w:rsidRPr="001C2458" w:rsidRDefault="001C2458" w:rsidP="001C2458">
      <w:pPr>
        <w:jc w:val="both"/>
      </w:pPr>
    </w:p>
    <w:p w:rsidR="00E40DFE" w:rsidRPr="0053003F" w:rsidRDefault="00E40DFE" w:rsidP="00E40DFE">
      <w:pPr>
        <w:rPr>
          <w:b/>
          <w:bCs/>
        </w:rPr>
      </w:pPr>
      <w:r w:rsidRPr="0053003F">
        <w:rPr>
          <w:b/>
          <w:bCs/>
        </w:rPr>
        <w:lastRenderedPageBreak/>
        <w:t>5.1. Administración de Riesgos</w:t>
      </w:r>
    </w:p>
    <w:p w:rsidR="00E40DFE" w:rsidRDefault="00E40DFE" w:rsidP="00E40DFE">
      <w:r>
        <w:t>La Personería Municipal de Facatativá adopta la administración de riesgos como eje fundamental para la prevención de actos de corrupción, integrándola al Sistema de Control Interno y al Modelo Integrado de Planeación y Gestión – MIPG.</w:t>
      </w:r>
    </w:p>
    <w:p w:rsidR="00E40DFE" w:rsidRDefault="00E40DFE" w:rsidP="00E40DFE">
      <w:r>
        <w:t>Las acciones en este componente incluyen:</w:t>
      </w:r>
    </w:p>
    <w:p w:rsidR="00E40DFE" w:rsidRDefault="00E40DFE" w:rsidP="005B1A75">
      <w:pPr>
        <w:pStyle w:val="Prrafodelista"/>
        <w:numPr>
          <w:ilvl w:val="0"/>
          <w:numId w:val="19"/>
        </w:numPr>
      </w:pPr>
      <w:r>
        <w:t>Identificación periódica de riesgos de corrupción en los procesos misionales, estratégicos y de apoyo.</w:t>
      </w:r>
    </w:p>
    <w:p w:rsidR="00E40DFE" w:rsidRDefault="00E40DFE" w:rsidP="005B1A75">
      <w:pPr>
        <w:pStyle w:val="Prrafodelista"/>
        <w:numPr>
          <w:ilvl w:val="0"/>
          <w:numId w:val="19"/>
        </w:numPr>
      </w:pPr>
      <w:r>
        <w:t>Valoración de riesgos conforme a la metodología establecida por el DAFP.</w:t>
      </w:r>
    </w:p>
    <w:p w:rsidR="00E40DFE" w:rsidRDefault="00E40DFE" w:rsidP="005B1A75">
      <w:pPr>
        <w:pStyle w:val="Prrafodelista"/>
        <w:numPr>
          <w:ilvl w:val="0"/>
          <w:numId w:val="19"/>
        </w:numPr>
      </w:pPr>
      <w:r>
        <w:t>Definición e implementación de controles preventivos y correctivos.</w:t>
      </w:r>
    </w:p>
    <w:p w:rsidR="00E40DFE" w:rsidRDefault="00E40DFE" w:rsidP="005B1A75">
      <w:pPr>
        <w:pStyle w:val="Prrafodelista"/>
        <w:numPr>
          <w:ilvl w:val="0"/>
          <w:numId w:val="19"/>
        </w:numPr>
      </w:pPr>
      <w:r>
        <w:t>Actualización anual de la matriz de riesgos de corrupción.</w:t>
      </w:r>
    </w:p>
    <w:p w:rsidR="00E40DFE" w:rsidRDefault="00E40DFE" w:rsidP="005B1A75">
      <w:pPr>
        <w:pStyle w:val="Prrafodelista"/>
        <w:numPr>
          <w:ilvl w:val="0"/>
          <w:numId w:val="19"/>
        </w:numPr>
      </w:pPr>
      <w:r>
        <w:t>Seguimiento sistemático a la efectividad de los controles establecidos.</w:t>
      </w:r>
    </w:p>
    <w:p w:rsidR="005B1A75" w:rsidRDefault="005B1A75" w:rsidP="005B1A75">
      <w:pPr>
        <w:pStyle w:val="Prrafodelista"/>
      </w:pPr>
    </w:p>
    <w:p w:rsidR="00E40DFE" w:rsidRPr="005B1A75" w:rsidRDefault="00E40DFE" w:rsidP="00E40DFE">
      <w:pPr>
        <w:rPr>
          <w:b/>
          <w:bCs/>
        </w:rPr>
      </w:pPr>
      <w:r w:rsidRPr="005B1A75">
        <w:rPr>
          <w:b/>
          <w:bCs/>
        </w:rPr>
        <w:t>5.2. Gestión de Riesgos para la Integridad Pública</w:t>
      </w:r>
    </w:p>
    <w:p w:rsidR="00E40DFE" w:rsidRDefault="00E40DFE" w:rsidP="00E40DFE">
      <w:r>
        <w:t>La gestión de riesgos para la integridad pública se enfoca en prevenir conductas contrarias a la ética, los valores del servicio público y el Código de Integridad.</w:t>
      </w:r>
    </w:p>
    <w:p w:rsidR="00E40DFE" w:rsidRDefault="00E40DFE" w:rsidP="007F2C9A">
      <w:r>
        <w:t>Para ello, la Personería implementa las siguientes acciones:</w:t>
      </w:r>
    </w:p>
    <w:p w:rsidR="00E40DFE" w:rsidRDefault="00E40DFE" w:rsidP="007F2C9A">
      <w:pPr>
        <w:pStyle w:val="Prrafodelista"/>
        <w:numPr>
          <w:ilvl w:val="0"/>
          <w:numId w:val="20"/>
        </w:numPr>
      </w:pPr>
      <w:r>
        <w:t xml:space="preserve">Socialización </w:t>
      </w:r>
      <w:r w:rsidR="007F2C9A">
        <w:t xml:space="preserve">y aplicación </w:t>
      </w:r>
      <w:r>
        <w:t>del Código de Integridad del Servicio Público.</w:t>
      </w:r>
    </w:p>
    <w:p w:rsidR="00E40DFE" w:rsidRDefault="00E40DFE" w:rsidP="007F2C9A">
      <w:pPr>
        <w:pStyle w:val="Prrafodelista"/>
        <w:numPr>
          <w:ilvl w:val="0"/>
          <w:numId w:val="20"/>
        </w:numPr>
        <w:jc w:val="both"/>
      </w:pPr>
      <w:r>
        <w:t>Identificación de situaciones que puedan generar conflictos de interés.</w:t>
      </w:r>
    </w:p>
    <w:p w:rsidR="00E40DFE" w:rsidRDefault="00E40DFE" w:rsidP="007F2C9A">
      <w:pPr>
        <w:pStyle w:val="Prrafodelista"/>
        <w:numPr>
          <w:ilvl w:val="0"/>
          <w:numId w:val="20"/>
        </w:numPr>
      </w:pPr>
      <w:r>
        <w:t>Inclusión de la integridad como criterio transversal en los procesos institucionales.</w:t>
      </w:r>
    </w:p>
    <w:p w:rsidR="007F2C9A" w:rsidRDefault="00E40DFE" w:rsidP="00E40DFE">
      <w:pPr>
        <w:pStyle w:val="Prrafodelista"/>
        <w:numPr>
          <w:ilvl w:val="0"/>
          <w:numId w:val="20"/>
        </w:numPr>
      </w:pPr>
      <w:r>
        <w:t>Articulación de la gestión de integridad con los planes de capacitación y bienestar.</w:t>
      </w:r>
    </w:p>
    <w:p w:rsidR="007F2C9A" w:rsidRDefault="007F2C9A" w:rsidP="007F2C9A">
      <w:pPr>
        <w:pStyle w:val="Prrafodelista"/>
      </w:pPr>
    </w:p>
    <w:p w:rsidR="00E40DFE" w:rsidRPr="007F2C9A" w:rsidRDefault="00E40DFE" w:rsidP="00E40DFE">
      <w:pPr>
        <w:rPr>
          <w:b/>
          <w:bCs/>
        </w:rPr>
      </w:pPr>
      <w:r w:rsidRPr="007F2C9A">
        <w:rPr>
          <w:b/>
          <w:bCs/>
        </w:rPr>
        <w:t>5.3. Redes y Articulación Institucional</w:t>
      </w:r>
    </w:p>
    <w:p w:rsidR="00E40DFE" w:rsidRDefault="00E40DFE" w:rsidP="007F2C9A">
      <w:pPr>
        <w:jc w:val="both"/>
      </w:pPr>
      <w:r>
        <w:t>La Personería Municipal de Facatativá fortalece su estrategia anticorrupción mediante la articulación con actores internos y externos, promoviendo el trabajo colaborativo y el control social.</w:t>
      </w:r>
    </w:p>
    <w:p w:rsidR="00E40DFE" w:rsidRDefault="00E40DFE" w:rsidP="00E40DFE">
      <w:r>
        <w:t>Entre las acciones se destacan:</w:t>
      </w:r>
    </w:p>
    <w:p w:rsidR="00E40DFE" w:rsidRDefault="00E40DFE" w:rsidP="007F2C9A">
      <w:pPr>
        <w:pStyle w:val="Prrafodelista"/>
        <w:numPr>
          <w:ilvl w:val="0"/>
          <w:numId w:val="21"/>
        </w:numPr>
        <w:jc w:val="both"/>
      </w:pPr>
      <w:r>
        <w:t>Coordinación con organismos de control como Contraloría</w:t>
      </w:r>
      <w:r w:rsidR="007F2C9A">
        <w:t xml:space="preserve"> y</w:t>
      </w:r>
      <w:r>
        <w:t xml:space="preserve"> Procuraduría.</w:t>
      </w:r>
    </w:p>
    <w:p w:rsidR="00E40DFE" w:rsidRDefault="00E40DFE" w:rsidP="007F2C9A">
      <w:pPr>
        <w:pStyle w:val="Prrafodelista"/>
        <w:numPr>
          <w:ilvl w:val="0"/>
          <w:numId w:val="21"/>
        </w:numPr>
      </w:pPr>
      <w:r>
        <w:t>Participación en espacios institucionales de transparencia y buen gobierno.</w:t>
      </w:r>
    </w:p>
    <w:p w:rsidR="00E40DFE" w:rsidRDefault="00E40DFE" w:rsidP="007F2C9A">
      <w:pPr>
        <w:pStyle w:val="Prrafodelista"/>
        <w:numPr>
          <w:ilvl w:val="0"/>
          <w:numId w:val="21"/>
        </w:numPr>
      </w:pPr>
      <w:r>
        <w:t>Articulación con dependencias del municipio para el intercambio de información y buenas prácticas.</w:t>
      </w:r>
    </w:p>
    <w:p w:rsidR="00E40DFE" w:rsidRDefault="00E40DFE" w:rsidP="007F2C9A">
      <w:pPr>
        <w:pStyle w:val="Prrafodelista"/>
        <w:numPr>
          <w:ilvl w:val="0"/>
          <w:numId w:val="21"/>
        </w:numPr>
      </w:pPr>
      <w:r>
        <w:t>Promoción del control social y la participación ciudadana</w:t>
      </w:r>
      <w:r w:rsidR="007F2C9A">
        <w:t>, a través de veedurías ciudadanas</w:t>
      </w:r>
      <w:r>
        <w:t>.</w:t>
      </w:r>
    </w:p>
    <w:p w:rsidR="00F441A8" w:rsidRDefault="00E40DFE" w:rsidP="00E40DFE">
      <w:pPr>
        <w:pStyle w:val="Prrafodelista"/>
        <w:numPr>
          <w:ilvl w:val="0"/>
          <w:numId w:val="21"/>
        </w:numPr>
      </w:pPr>
      <w:r>
        <w:t>La articulación institucional permite fortalecer la prevención, detección y atención de riesgos de corrupción.</w:t>
      </w:r>
    </w:p>
    <w:p w:rsidR="00F441A8" w:rsidRDefault="00F441A8" w:rsidP="00F441A8">
      <w:pPr>
        <w:pStyle w:val="Prrafodelista"/>
      </w:pPr>
    </w:p>
    <w:p w:rsidR="00F441A8" w:rsidRDefault="00F441A8" w:rsidP="00E40DFE">
      <w:pPr>
        <w:rPr>
          <w:b/>
          <w:bCs/>
        </w:rPr>
      </w:pPr>
    </w:p>
    <w:p w:rsidR="00E40DFE" w:rsidRPr="007F2C9A" w:rsidRDefault="00E40DFE" w:rsidP="00E40DFE">
      <w:pPr>
        <w:rPr>
          <w:b/>
          <w:bCs/>
        </w:rPr>
      </w:pPr>
      <w:r w:rsidRPr="007F2C9A">
        <w:rPr>
          <w:b/>
          <w:bCs/>
        </w:rPr>
        <w:lastRenderedPageBreak/>
        <w:t>5.4. Modelo de Estado Abierto</w:t>
      </w:r>
    </w:p>
    <w:p w:rsidR="00E40DFE" w:rsidRDefault="00E40DFE" w:rsidP="00E40DFE">
      <w:r>
        <w:t>La Personería adopta los principios del Modelo de Estado Abierto, promoviendo la transparencia, la participación ciudadana y la colaboración.</w:t>
      </w:r>
    </w:p>
    <w:p w:rsidR="00E40DFE" w:rsidRDefault="00E40DFE" w:rsidP="00E40DFE">
      <w:r>
        <w:t>Las principales acciones en este eje son:</w:t>
      </w:r>
    </w:p>
    <w:p w:rsidR="00E40DFE" w:rsidRDefault="00E40DFE" w:rsidP="007F2C9A">
      <w:pPr>
        <w:pStyle w:val="Prrafodelista"/>
        <w:numPr>
          <w:ilvl w:val="0"/>
          <w:numId w:val="22"/>
        </w:numPr>
      </w:pPr>
      <w:r>
        <w:t>Publicación oportuna y completa de información pública conforme a la Ley 1712 de 2014.</w:t>
      </w:r>
    </w:p>
    <w:p w:rsidR="00E40DFE" w:rsidRDefault="00E40DFE" w:rsidP="007F2C9A">
      <w:pPr>
        <w:pStyle w:val="Prrafodelista"/>
        <w:numPr>
          <w:ilvl w:val="0"/>
          <w:numId w:val="22"/>
        </w:numPr>
      </w:pPr>
      <w:r>
        <w:t>Fortalecimiento de los canales de atención y participación ciudadana.</w:t>
      </w:r>
    </w:p>
    <w:p w:rsidR="00E40DFE" w:rsidRDefault="00E40DFE" w:rsidP="007F2C9A">
      <w:pPr>
        <w:pStyle w:val="Prrafodelista"/>
        <w:numPr>
          <w:ilvl w:val="0"/>
          <w:numId w:val="22"/>
        </w:numPr>
      </w:pPr>
      <w:r>
        <w:t>Rendición de cuentas periódica a la ciudadanía.</w:t>
      </w:r>
    </w:p>
    <w:p w:rsidR="00E40DFE" w:rsidRDefault="00E40DFE" w:rsidP="007F2C9A">
      <w:pPr>
        <w:pStyle w:val="Prrafodelista"/>
        <w:numPr>
          <w:ilvl w:val="0"/>
          <w:numId w:val="22"/>
        </w:numPr>
      </w:pPr>
      <w:r>
        <w:t>Uso de lenguaje claro en la comunicación institucional.</w:t>
      </w:r>
    </w:p>
    <w:p w:rsidR="007F2C9A" w:rsidRDefault="00E40DFE" w:rsidP="007F2C9A">
      <w:pPr>
        <w:pStyle w:val="Prrafodelista"/>
        <w:numPr>
          <w:ilvl w:val="0"/>
          <w:numId w:val="22"/>
        </w:numPr>
      </w:pPr>
      <w:r>
        <w:t>Facilitación del acceso a la información y a los mecanismos de denuncia</w:t>
      </w:r>
    </w:p>
    <w:p w:rsidR="007F2C9A" w:rsidRDefault="00E40DFE" w:rsidP="00E40DFE">
      <w:pPr>
        <w:pStyle w:val="Prrafodelista"/>
        <w:numPr>
          <w:ilvl w:val="0"/>
          <w:numId w:val="22"/>
        </w:numPr>
      </w:pPr>
      <w:r>
        <w:t>Este enfoque busca consolidar una gestión abierta, cercana al ciudadano y orientada a la confianza pública.</w:t>
      </w:r>
    </w:p>
    <w:p w:rsidR="00F441A8" w:rsidRPr="00F441A8" w:rsidRDefault="00F441A8" w:rsidP="00F441A8">
      <w:pPr>
        <w:pStyle w:val="Prrafodelista"/>
      </w:pPr>
    </w:p>
    <w:p w:rsidR="00E40DFE" w:rsidRPr="007F2C9A" w:rsidRDefault="00E40DFE" w:rsidP="00E40DFE">
      <w:pPr>
        <w:rPr>
          <w:b/>
          <w:bCs/>
        </w:rPr>
      </w:pPr>
      <w:r w:rsidRPr="007F2C9A">
        <w:rPr>
          <w:b/>
          <w:bCs/>
        </w:rPr>
        <w:t>5.5. Iniciativas Adicionales de Lucha Contra la Corrupción</w:t>
      </w:r>
    </w:p>
    <w:p w:rsidR="00E40DFE" w:rsidRDefault="00E40DFE" w:rsidP="00E40DFE">
      <w:r>
        <w:t>De manera complementaria, la Personería Municipal de Facatativá implementa iniciativas adicionales que fortalecen su estrategia institucional, tales como:</w:t>
      </w:r>
    </w:p>
    <w:p w:rsidR="00E40DFE" w:rsidRDefault="00E40DFE" w:rsidP="00887EC1">
      <w:pPr>
        <w:pStyle w:val="Prrafodelista"/>
        <w:numPr>
          <w:ilvl w:val="0"/>
          <w:numId w:val="23"/>
        </w:numPr>
      </w:pPr>
      <w:r>
        <w:t>Capacitación continua en transparencia, ética pública y control disciplinario.</w:t>
      </w:r>
    </w:p>
    <w:p w:rsidR="00E40DFE" w:rsidRDefault="007F2C9A" w:rsidP="00887EC1">
      <w:pPr>
        <w:pStyle w:val="Prrafodelista"/>
        <w:numPr>
          <w:ilvl w:val="0"/>
          <w:numId w:val="23"/>
        </w:numPr>
      </w:pPr>
      <w:r>
        <w:t>F</w:t>
      </w:r>
      <w:r w:rsidR="00E40DFE">
        <w:t>ortalecimiento del Sistema de Atención al Ciudadano y gestión de PQRSD.</w:t>
      </w:r>
    </w:p>
    <w:p w:rsidR="00887EC1" w:rsidRDefault="00E40DFE" w:rsidP="00E40DFE">
      <w:pPr>
        <w:pStyle w:val="Prrafodelista"/>
        <w:numPr>
          <w:ilvl w:val="0"/>
          <w:numId w:val="23"/>
        </w:numPr>
      </w:pPr>
      <w:r>
        <w:t>Seguimiento a recomendaciones de auditorías y planes de mejoramiento.</w:t>
      </w:r>
    </w:p>
    <w:p w:rsidR="00887EC1" w:rsidRDefault="00887EC1" w:rsidP="00887EC1">
      <w:pPr>
        <w:pStyle w:val="Prrafodelista"/>
      </w:pPr>
    </w:p>
    <w:p w:rsidR="00E40DFE" w:rsidRPr="00887EC1" w:rsidRDefault="00E40DFE" w:rsidP="00E40DFE">
      <w:pPr>
        <w:rPr>
          <w:b/>
          <w:bCs/>
        </w:rPr>
      </w:pPr>
      <w:r w:rsidRPr="00887EC1">
        <w:rPr>
          <w:b/>
          <w:bCs/>
        </w:rPr>
        <w:t>6. MONITOREO, ADMINISTRACIÓN Y SUPERVISIÓN</w:t>
      </w:r>
    </w:p>
    <w:p w:rsidR="00E40DFE" w:rsidRDefault="00E40DFE" w:rsidP="00887EC1">
      <w:pPr>
        <w:jc w:val="both"/>
      </w:pPr>
      <w:r>
        <w:t xml:space="preserve">El monitoreo y administración del Programa estarán a cargo del Personero </w:t>
      </w:r>
      <w:r w:rsidR="00887EC1">
        <w:t xml:space="preserve">Auxiliar </w:t>
      </w:r>
      <w:r>
        <w:t xml:space="preserve">y </w:t>
      </w:r>
      <w:r w:rsidR="00887EC1">
        <w:t>la Secretaria General de Organismo de Control</w:t>
      </w:r>
      <w:r>
        <w:t>, quienes verificarán el cumplimiento de las actividades programadas y la efectividad de los controles establecidos.</w:t>
      </w:r>
    </w:p>
    <w:p w:rsidR="00E40DFE" w:rsidRDefault="00E40DFE" w:rsidP="00E40DFE">
      <w:r>
        <w:t>El seguimiento se realizará de forma periódica y se documentará mediante informes y evidencias.</w:t>
      </w:r>
    </w:p>
    <w:p w:rsidR="00E40DFE" w:rsidRPr="00887EC1" w:rsidRDefault="00887EC1" w:rsidP="00E40DFE">
      <w:pPr>
        <w:rPr>
          <w:b/>
          <w:bCs/>
        </w:rPr>
      </w:pPr>
      <w:r w:rsidRPr="00887EC1">
        <w:rPr>
          <w:b/>
          <w:bCs/>
        </w:rPr>
        <w:t>7</w:t>
      </w:r>
      <w:r w:rsidR="00E40DFE" w:rsidRPr="00887EC1">
        <w:rPr>
          <w:b/>
          <w:bCs/>
        </w:rPr>
        <w:t>. FORMACIÓN</w:t>
      </w:r>
    </w:p>
    <w:p w:rsidR="00E40DFE" w:rsidRDefault="00E40DFE" w:rsidP="00E40DFE">
      <w:r>
        <w:t>La entidad promoverá procesos de formación y sensibilización dirigidos a servidores públicos y contratistas en temas como:</w:t>
      </w:r>
    </w:p>
    <w:p w:rsidR="00E40DFE" w:rsidRDefault="00E40DFE" w:rsidP="00887EC1">
      <w:pPr>
        <w:pStyle w:val="Prrafodelista"/>
        <w:numPr>
          <w:ilvl w:val="0"/>
          <w:numId w:val="24"/>
        </w:numPr>
      </w:pPr>
      <w:r>
        <w:t>Ética pública e integridad.</w:t>
      </w:r>
    </w:p>
    <w:p w:rsidR="00E40DFE" w:rsidRDefault="00E40DFE" w:rsidP="00887EC1">
      <w:pPr>
        <w:pStyle w:val="Prrafodelista"/>
        <w:numPr>
          <w:ilvl w:val="0"/>
          <w:numId w:val="24"/>
        </w:numPr>
      </w:pPr>
      <w:r>
        <w:t>Transparencia y lucha contra la corrupción.</w:t>
      </w:r>
    </w:p>
    <w:p w:rsidR="00E40DFE" w:rsidRDefault="00E40DFE" w:rsidP="00887EC1">
      <w:pPr>
        <w:pStyle w:val="Prrafodelista"/>
        <w:numPr>
          <w:ilvl w:val="0"/>
          <w:numId w:val="24"/>
        </w:numPr>
      </w:pPr>
      <w:r>
        <w:t>Régimen disciplinario.</w:t>
      </w:r>
    </w:p>
    <w:p w:rsidR="00E40DFE" w:rsidRDefault="00E40DFE" w:rsidP="00F441A8">
      <w:pPr>
        <w:pStyle w:val="Prrafodelista"/>
        <w:numPr>
          <w:ilvl w:val="0"/>
          <w:numId w:val="24"/>
        </w:numPr>
        <w:ind w:left="709"/>
        <w:jc w:val="both"/>
      </w:pPr>
      <w:r>
        <w:t>Acceso a la información pública.</w:t>
      </w:r>
    </w:p>
    <w:p w:rsidR="00F441A8" w:rsidRDefault="00F441A8" w:rsidP="00F441A8">
      <w:pPr>
        <w:spacing w:after="0" w:line="240" w:lineRule="auto"/>
        <w:jc w:val="both"/>
      </w:pPr>
    </w:p>
    <w:p w:rsidR="00E40DFE" w:rsidRDefault="00E40DFE" w:rsidP="00F441A8">
      <w:pPr>
        <w:spacing w:after="0" w:line="240" w:lineRule="auto"/>
        <w:jc w:val="both"/>
      </w:pPr>
      <w:r>
        <w:t>Las actividades de formación se articularán con el Plan Institucional de Capacitación.</w:t>
      </w:r>
    </w:p>
    <w:p w:rsidR="00F441A8" w:rsidRDefault="00F441A8" w:rsidP="00E40DFE">
      <w:pPr>
        <w:rPr>
          <w:b/>
          <w:bCs/>
        </w:rPr>
      </w:pPr>
    </w:p>
    <w:p w:rsidR="00E40DFE" w:rsidRPr="00887EC1" w:rsidRDefault="00887EC1" w:rsidP="00E40DFE">
      <w:pPr>
        <w:rPr>
          <w:b/>
          <w:bCs/>
        </w:rPr>
      </w:pPr>
      <w:r w:rsidRPr="00887EC1">
        <w:rPr>
          <w:b/>
          <w:bCs/>
        </w:rPr>
        <w:lastRenderedPageBreak/>
        <w:t>8</w:t>
      </w:r>
      <w:r w:rsidR="00E40DFE" w:rsidRPr="00887EC1">
        <w:rPr>
          <w:b/>
          <w:bCs/>
        </w:rPr>
        <w:t>. COMUNICACIÓN</w:t>
      </w:r>
    </w:p>
    <w:p w:rsidR="00E40DFE" w:rsidRDefault="00E40DFE" w:rsidP="00E40DFE">
      <w:r>
        <w:t>La comunicación del Programa de Transparencia y Ética Pública se realizará a través de:</w:t>
      </w:r>
    </w:p>
    <w:p w:rsidR="00E40DFE" w:rsidRDefault="00E40DFE" w:rsidP="00887EC1">
      <w:pPr>
        <w:pStyle w:val="Prrafodelista"/>
        <w:numPr>
          <w:ilvl w:val="0"/>
          <w:numId w:val="28"/>
        </w:numPr>
        <w:ind w:left="709" w:hanging="425"/>
      </w:pPr>
      <w:r>
        <w:t>Publicación del programa en los medios institucionales.</w:t>
      </w:r>
    </w:p>
    <w:p w:rsidR="00E40DFE" w:rsidRDefault="00E40DFE" w:rsidP="00887EC1">
      <w:pPr>
        <w:pStyle w:val="Prrafodelista"/>
        <w:numPr>
          <w:ilvl w:val="0"/>
          <w:numId w:val="28"/>
        </w:numPr>
        <w:ind w:hanging="416"/>
      </w:pPr>
      <w:r>
        <w:t>Socialización interna con los servidores públicos.</w:t>
      </w:r>
    </w:p>
    <w:p w:rsidR="00E40DFE" w:rsidRDefault="00E40DFE" w:rsidP="00887EC1">
      <w:pPr>
        <w:pStyle w:val="Prrafodelista"/>
        <w:numPr>
          <w:ilvl w:val="0"/>
          <w:numId w:val="28"/>
        </w:numPr>
        <w:ind w:hanging="416"/>
      </w:pPr>
      <w:r>
        <w:t>Divulgación de mecanismos de denuncia y atención al ciudadano.</w:t>
      </w:r>
    </w:p>
    <w:p w:rsidR="00E40DFE" w:rsidRDefault="00E40DFE" w:rsidP="00887EC1">
      <w:pPr>
        <w:pStyle w:val="Prrafodelista"/>
        <w:numPr>
          <w:ilvl w:val="0"/>
          <w:numId w:val="28"/>
        </w:numPr>
        <w:ind w:hanging="416"/>
      </w:pPr>
      <w:r>
        <w:t>La comunicación buscará fortalecer la confianza ciudadana y la participación.</w:t>
      </w:r>
    </w:p>
    <w:p w:rsidR="00E40DFE" w:rsidRDefault="00E40DFE" w:rsidP="00E40DFE">
      <w:r>
        <w:t xml:space="preserve"> </w:t>
      </w:r>
    </w:p>
    <w:p w:rsidR="00E40DFE" w:rsidRPr="00887EC1" w:rsidRDefault="00F441A8" w:rsidP="00E40DFE">
      <w:pPr>
        <w:rPr>
          <w:b/>
          <w:bCs/>
        </w:rPr>
      </w:pPr>
      <w:r>
        <w:rPr>
          <w:b/>
          <w:bCs/>
        </w:rPr>
        <w:t>9</w:t>
      </w:r>
      <w:r w:rsidR="00E40DFE" w:rsidRPr="00887EC1">
        <w:rPr>
          <w:b/>
          <w:bCs/>
        </w:rPr>
        <w:t>. AUDITORÍA Y MEJORA</w:t>
      </w:r>
    </w:p>
    <w:p w:rsidR="00E40DFE" w:rsidRDefault="00E40DFE" w:rsidP="00F441A8">
      <w:pPr>
        <w:jc w:val="both"/>
      </w:pPr>
      <w:r>
        <w:t>El Programa de Transparencia y Ética Pública será objeto de evaluación mediante auditorías internas y seguimientos de Control Interno.</w:t>
      </w:r>
      <w:r w:rsidR="00887EC1">
        <w:t xml:space="preserve"> </w:t>
      </w:r>
      <w:r>
        <w:t>Los resultados permitirán formular acciones de mejora, ajustes y actualizaciones al programa, garantizando su efectividad y sostenibilidad en el tiempo.</w:t>
      </w:r>
    </w:p>
    <w:p w:rsidR="00E40DFE" w:rsidRPr="00F441A8" w:rsidRDefault="00E40DFE" w:rsidP="00E40DFE">
      <w:pPr>
        <w:rPr>
          <w:b/>
          <w:bCs/>
        </w:rPr>
      </w:pPr>
      <w:r w:rsidRPr="00F441A8">
        <w:rPr>
          <w:b/>
          <w:bCs/>
        </w:rPr>
        <w:t>1</w:t>
      </w:r>
      <w:r w:rsidR="00F441A8">
        <w:rPr>
          <w:b/>
          <w:bCs/>
        </w:rPr>
        <w:t>0</w:t>
      </w:r>
      <w:r w:rsidRPr="00F441A8">
        <w:rPr>
          <w:b/>
          <w:bCs/>
        </w:rPr>
        <w:t>. VIGENCIA</w:t>
      </w:r>
    </w:p>
    <w:p w:rsidR="00E40DFE" w:rsidRDefault="00E40DFE" w:rsidP="00F441A8">
      <w:pPr>
        <w:jc w:val="both"/>
      </w:pPr>
      <w:r>
        <w:t xml:space="preserve">El presente Programa tendrá vigencia </w:t>
      </w:r>
      <w:r w:rsidR="00887EC1">
        <w:t xml:space="preserve">para </w:t>
      </w:r>
      <w:proofErr w:type="spellStart"/>
      <w:r w:rsidR="00887EC1">
        <w:t>el</w:t>
      </w:r>
      <w:proofErr w:type="spellEnd"/>
      <w:r w:rsidR="00887EC1">
        <w:t xml:space="preserve"> periodo 2026 - 2027</w:t>
      </w:r>
      <w:r>
        <w:t xml:space="preserve"> y será actualizado conforme a los lineamientos del DAFP, el MIPG y las necesidades institucionales.</w:t>
      </w:r>
    </w:p>
    <w:p w:rsidR="00E40DFE" w:rsidRDefault="00E40DFE" w:rsidP="00E40DFE"/>
    <w:p w:rsidR="00E40DFE" w:rsidRDefault="00E40DFE" w:rsidP="00E40DFE"/>
    <w:p w:rsidR="00E40DFE" w:rsidRDefault="00E40DFE" w:rsidP="00E40DFE"/>
    <w:sectPr w:rsidR="00E40DFE" w:rsidSect="00497B2D">
      <w:headerReference w:type="default" r:id="rId5"/>
      <w:pgSz w:w="12240" w:h="15840"/>
      <w:pgMar w:top="22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000000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03F155" wp14:editId="734E1B53">
          <wp:simplePos x="0" y="0"/>
          <wp:positionH relativeFrom="page">
            <wp:align>right</wp:align>
          </wp:positionH>
          <wp:positionV relativeFrom="paragraph">
            <wp:posOffset>-449402</wp:posOffset>
          </wp:positionV>
          <wp:extent cx="7772400" cy="10054520"/>
          <wp:effectExtent l="0" t="0" r="0" b="0"/>
          <wp:wrapNone/>
          <wp:docPr id="192591161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EE1"/>
    <w:multiLevelType w:val="hybridMultilevel"/>
    <w:tmpl w:val="0B38DD4E"/>
    <w:lvl w:ilvl="0" w:tplc="0C0A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B241AF1"/>
    <w:multiLevelType w:val="hybridMultilevel"/>
    <w:tmpl w:val="95AC79B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1F6808"/>
    <w:multiLevelType w:val="hybridMultilevel"/>
    <w:tmpl w:val="88EAE16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DA59A8"/>
    <w:multiLevelType w:val="hybridMultilevel"/>
    <w:tmpl w:val="92007DC2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333397C"/>
    <w:multiLevelType w:val="hybridMultilevel"/>
    <w:tmpl w:val="1680856E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56575D8"/>
    <w:multiLevelType w:val="hybridMultilevel"/>
    <w:tmpl w:val="81F296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E54FB"/>
    <w:multiLevelType w:val="hybridMultilevel"/>
    <w:tmpl w:val="BEFC733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16865"/>
    <w:multiLevelType w:val="hybridMultilevel"/>
    <w:tmpl w:val="927057E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F4274F"/>
    <w:multiLevelType w:val="hybridMultilevel"/>
    <w:tmpl w:val="5C12842A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7475F7B"/>
    <w:multiLevelType w:val="hybridMultilevel"/>
    <w:tmpl w:val="84681F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94E08"/>
    <w:multiLevelType w:val="hybridMultilevel"/>
    <w:tmpl w:val="833658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944CD"/>
    <w:multiLevelType w:val="hybridMultilevel"/>
    <w:tmpl w:val="7360A1EC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4041C74"/>
    <w:multiLevelType w:val="hybridMultilevel"/>
    <w:tmpl w:val="8CDEA6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A756B"/>
    <w:multiLevelType w:val="hybridMultilevel"/>
    <w:tmpl w:val="CD4ED4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77EC1"/>
    <w:multiLevelType w:val="hybridMultilevel"/>
    <w:tmpl w:val="31C4A438"/>
    <w:lvl w:ilvl="0" w:tplc="D4AEA95E">
      <w:numFmt w:val="bullet"/>
      <w:lvlText w:val="•"/>
      <w:lvlJc w:val="left"/>
      <w:pPr>
        <w:ind w:left="700" w:hanging="70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6E7A5F"/>
    <w:multiLevelType w:val="hybridMultilevel"/>
    <w:tmpl w:val="B7769E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37C13"/>
    <w:multiLevelType w:val="hybridMultilevel"/>
    <w:tmpl w:val="514058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B327F"/>
    <w:multiLevelType w:val="hybridMultilevel"/>
    <w:tmpl w:val="D088B24E"/>
    <w:lvl w:ilvl="0" w:tplc="D4AEA95E">
      <w:numFmt w:val="bullet"/>
      <w:lvlText w:val="•"/>
      <w:lvlJc w:val="left"/>
      <w:pPr>
        <w:ind w:left="1534" w:hanging="70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8" w15:restartNumberingAfterBreak="0">
    <w:nsid w:val="5D6F3008"/>
    <w:multiLevelType w:val="hybridMultilevel"/>
    <w:tmpl w:val="6E6EE3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D512B"/>
    <w:multiLevelType w:val="hybridMultilevel"/>
    <w:tmpl w:val="4FE0D40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B2DA6"/>
    <w:multiLevelType w:val="hybridMultilevel"/>
    <w:tmpl w:val="06C6428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1651DAF"/>
    <w:multiLevelType w:val="hybridMultilevel"/>
    <w:tmpl w:val="17FC71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F1AE1"/>
    <w:multiLevelType w:val="hybridMultilevel"/>
    <w:tmpl w:val="E5E050CA"/>
    <w:lvl w:ilvl="0" w:tplc="D4AEA95E">
      <w:numFmt w:val="bullet"/>
      <w:lvlText w:val="•"/>
      <w:lvlJc w:val="left"/>
      <w:pPr>
        <w:ind w:left="1060" w:hanging="70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7457D"/>
    <w:multiLevelType w:val="hybridMultilevel"/>
    <w:tmpl w:val="87C6164E"/>
    <w:lvl w:ilvl="0" w:tplc="30DCEF7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D71B6"/>
    <w:multiLevelType w:val="hybridMultilevel"/>
    <w:tmpl w:val="5D5AA07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492525"/>
    <w:multiLevelType w:val="hybridMultilevel"/>
    <w:tmpl w:val="17E29B2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90932"/>
    <w:multiLevelType w:val="hybridMultilevel"/>
    <w:tmpl w:val="08D672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B37F0"/>
    <w:multiLevelType w:val="multilevel"/>
    <w:tmpl w:val="2B18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1961035146">
    <w:abstractNumId w:val="27"/>
  </w:num>
  <w:num w:numId="2" w16cid:durableId="990865406">
    <w:abstractNumId w:val="23"/>
  </w:num>
  <w:num w:numId="3" w16cid:durableId="1530414460">
    <w:abstractNumId w:val="25"/>
  </w:num>
  <w:num w:numId="4" w16cid:durableId="721711037">
    <w:abstractNumId w:val="19"/>
  </w:num>
  <w:num w:numId="5" w16cid:durableId="2126386246">
    <w:abstractNumId w:val="18"/>
  </w:num>
  <w:num w:numId="6" w16cid:durableId="1557660749">
    <w:abstractNumId w:val="6"/>
  </w:num>
  <w:num w:numId="7" w16cid:durableId="1737437279">
    <w:abstractNumId w:val="0"/>
  </w:num>
  <w:num w:numId="8" w16cid:durableId="570505486">
    <w:abstractNumId w:val="4"/>
  </w:num>
  <w:num w:numId="9" w16cid:durableId="175002620">
    <w:abstractNumId w:val="11"/>
  </w:num>
  <w:num w:numId="10" w16cid:durableId="1852330728">
    <w:abstractNumId w:val="20"/>
  </w:num>
  <w:num w:numId="11" w16cid:durableId="254629019">
    <w:abstractNumId w:val="3"/>
  </w:num>
  <w:num w:numId="12" w16cid:durableId="12850795">
    <w:abstractNumId w:val="8"/>
  </w:num>
  <w:num w:numId="13" w16cid:durableId="1364287130">
    <w:abstractNumId w:val="1"/>
  </w:num>
  <w:num w:numId="14" w16cid:durableId="132068811">
    <w:abstractNumId w:val="24"/>
  </w:num>
  <w:num w:numId="15" w16cid:durableId="54814276">
    <w:abstractNumId w:val="2"/>
  </w:num>
  <w:num w:numId="16" w16cid:durableId="371537927">
    <w:abstractNumId w:val="7"/>
  </w:num>
  <w:num w:numId="17" w16cid:durableId="1164198896">
    <w:abstractNumId w:val="26"/>
  </w:num>
  <w:num w:numId="18" w16cid:durableId="230847023">
    <w:abstractNumId w:val="9"/>
  </w:num>
  <w:num w:numId="19" w16cid:durableId="1265458390">
    <w:abstractNumId w:val="12"/>
  </w:num>
  <w:num w:numId="20" w16cid:durableId="1964186801">
    <w:abstractNumId w:val="21"/>
  </w:num>
  <w:num w:numId="21" w16cid:durableId="1254389701">
    <w:abstractNumId w:val="5"/>
  </w:num>
  <w:num w:numId="22" w16cid:durableId="1898776764">
    <w:abstractNumId w:val="15"/>
  </w:num>
  <w:num w:numId="23" w16cid:durableId="1761292312">
    <w:abstractNumId w:val="10"/>
  </w:num>
  <w:num w:numId="24" w16cid:durableId="790444674">
    <w:abstractNumId w:val="13"/>
  </w:num>
  <w:num w:numId="25" w16cid:durableId="1113398535">
    <w:abstractNumId w:val="16"/>
  </w:num>
  <w:num w:numId="26" w16cid:durableId="1900169146">
    <w:abstractNumId w:val="22"/>
  </w:num>
  <w:num w:numId="27" w16cid:durableId="2114279031">
    <w:abstractNumId w:val="17"/>
  </w:num>
  <w:num w:numId="28" w16cid:durableId="12001708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E07"/>
    <w:rsid w:val="000D0CFE"/>
    <w:rsid w:val="001C2458"/>
    <w:rsid w:val="00343494"/>
    <w:rsid w:val="003B4DA9"/>
    <w:rsid w:val="004F4F9C"/>
    <w:rsid w:val="0053003F"/>
    <w:rsid w:val="005B1A75"/>
    <w:rsid w:val="007A0E07"/>
    <w:rsid w:val="007F0099"/>
    <w:rsid w:val="007F2C9A"/>
    <w:rsid w:val="00887EC1"/>
    <w:rsid w:val="00A96E9C"/>
    <w:rsid w:val="00C149D0"/>
    <w:rsid w:val="00E40DFE"/>
    <w:rsid w:val="00EC0389"/>
    <w:rsid w:val="00F441A8"/>
    <w:rsid w:val="00FA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A2E923"/>
  <w15:chartTrackingRefBased/>
  <w15:docId w15:val="{1CDC7736-7F7D-A74D-B85C-72AAEEDD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E07"/>
    <w:pPr>
      <w:spacing w:after="160"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7A0E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A0E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E07"/>
    <w:rPr>
      <w:sz w:val="22"/>
      <w:szCs w:val="22"/>
    </w:rPr>
  </w:style>
  <w:style w:type="paragraph" w:styleId="Prrafodelista">
    <w:name w:val="List Paragraph"/>
    <w:basedOn w:val="Normal"/>
    <w:uiPriority w:val="34"/>
    <w:qFormat/>
    <w:rsid w:val="007A0E07"/>
    <w:pPr>
      <w:spacing w:after="0" w:line="240" w:lineRule="auto"/>
      <w:ind w:left="720"/>
      <w:contextualSpacing/>
    </w:pPr>
    <w:rPr>
      <w:kern w:val="0"/>
      <w:sz w:val="24"/>
      <w:szCs w:val="24"/>
      <w14:ligatures w14:val="non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7A0E0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A0E07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7A0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_tradnl"/>
      <w14:ligatures w14:val="none"/>
    </w:rPr>
  </w:style>
  <w:style w:type="paragraph" w:customStyle="1" w:styleId="Default">
    <w:name w:val="Default"/>
    <w:rsid w:val="007A0E07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n-U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7A0E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7A0E07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s-CO"/>
      <w14:ligatures w14:val="none"/>
    </w:rPr>
  </w:style>
  <w:style w:type="paragraph" w:customStyle="1" w:styleId="Textoindependiente22">
    <w:name w:val="Texto independiente 22"/>
    <w:basedOn w:val="Normal"/>
    <w:uiPriority w:val="99"/>
    <w:rsid w:val="007A0E07"/>
    <w:pPr>
      <w:suppressAutoHyphens/>
      <w:spacing w:after="0" w:line="360" w:lineRule="auto"/>
      <w:jc w:val="both"/>
    </w:pPr>
    <w:rPr>
      <w:rFonts w:ascii="Verdana" w:eastAsia="Times New Roman" w:hAnsi="Verdana" w:cs="Times New Roman"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6</Pages>
  <Words>1113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2026-01-22T18:18:00Z</dcterms:created>
  <dcterms:modified xsi:type="dcterms:W3CDTF">2026-01-23T00:42:00Z</dcterms:modified>
</cp:coreProperties>
</file>